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78B47">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_GBK" w:hAnsi="黑体" w:eastAsia="方正黑体_GBK" w:cs="黑体"/>
          <w:bCs/>
          <w:color w:val="auto"/>
          <w:lang w:val="en-US" w:eastAsia="zh-CN"/>
        </w:rPr>
      </w:pPr>
      <w:r>
        <w:rPr>
          <w:rFonts w:hint="eastAsia" w:ascii="方正黑体_GBK" w:hAnsi="黑体" w:eastAsia="方正黑体_GBK" w:cs="黑体"/>
          <w:bCs/>
          <w:color w:val="auto"/>
          <w:lang w:eastAsia="zh-CN"/>
        </w:rPr>
        <w:t>附件</w:t>
      </w:r>
      <w:r>
        <w:rPr>
          <w:rFonts w:hint="eastAsia" w:ascii="方正黑体_GBK" w:hAnsi="黑体" w:eastAsia="方正黑体_GBK" w:cs="黑体"/>
          <w:bCs/>
          <w:color w:val="auto"/>
          <w:lang w:val="en-US" w:eastAsia="zh-CN"/>
        </w:rPr>
        <w:t>2</w:t>
      </w:r>
    </w:p>
    <w:p w14:paraId="2D800CD8">
      <w:pPr>
        <w:pStyle w:val="2"/>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color w:val="auto"/>
          <w:lang w:val="en-US" w:eastAsia="zh-CN"/>
        </w:rPr>
      </w:pPr>
    </w:p>
    <w:p w14:paraId="2AC8DD11">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44"/>
          <w:szCs w:val="44"/>
        </w:rPr>
      </w:pPr>
      <w:bookmarkStart w:id="0" w:name="_GoBack"/>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5</w:t>
      </w:r>
      <w:r>
        <w:rPr>
          <w:rFonts w:hint="eastAsia" w:ascii="方正小标宋简体" w:hAnsi="方正小标宋简体" w:eastAsia="方正小标宋简体" w:cs="方正小标宋简体"/>
          <w:bCs/>
          <w:color w:val="auto"/>
          <w:sz w:val="44"/>
          <w:szCs w:val="44"/>
        </w:rPr>
        <w:t>年度湖北省软科学</w:t>
      </w:r>
      <w:r>
        <w:rPr>
          <w:rFonts w:hint="eastAsia" w:ascii="方正小标宋简体" w:hAnsi="方正小标宋简体" w:eastAsia="方正小标宋简体" w:cs="方正小标宋简体"/>
          <w:bCs/>
          <w:color w:val="auto"/>
          <w:sz w:val="44"/>
          <w:szCs w:val="44"/>
          <w:lang w:eastAsia="zh-CN"/>
        </w:rPr>
        <w:t>计划</w:t>
      </w:r>
      <w:r>
        <w:rPr>
          <w:rFonts w:hint="eastAsia" w:ascii="方正小标宋简体" w:hAnsi="方正小标宋简体" w:eastAsia="方正小标宋简体" w:cs="方正小标宋简体"/>
          <w:bCs/>
          <w:color w:val="auto"/>
          <w:sz w:val="44"/>
          <w:szCs w:val="44"/>
        </w:rPr>
        <w:t>研究</w:t>
      </w:r>
      <w:r>
        <w:rPr>
          <w:rFonts w:hint="eastAsia" w:ascii="方正小标宋简体" w:hAnsi="方正小标宋简体" w:eastAsia="方正小标宋简体" w:cs="方正小标宋简体"/>
          <w:bCs/>
          <w:color w:val="auto"/>
          <w:sz w:val="44"/>
          <w:szCs w:val="44"/>
          <w:lang w:eastAsia="zh-CN"/>
        </w:rPr>
        <w:t>面上</w:t>
      </w:r>
      <w:r>
        <w:rPr>
          <w:rFonts w:hint="eastAsia" w:ascii="方正小标宋简体" w:hAnsi="方正小标宋简体" w:eastAsia="方正小标宋简体" w:cs="方正小标宋简体"/>
          <w:bCs/>
          <w:color w:val="auto"/>
          <w:sz w:val="44"/>
          <w:szCs w:val="44"/>
        </w:rPr>
        <w:t>项目</w:t>
      </w:r>
    </w:p>
    <w:p w14:paraId="56ADE21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（竞争类）申报</w:t>
      </w:r>
      <w:r>
        <w:rPr>
          <w:rFonts w:hint="eastAsia" w:ascii="方正小标宋简体" w:hAnsi="方正小标宋简体" w:eastAsia="方正小标宋简体" w:cs="方正小标宋简体"/>
          <w:bCs/>
          <w:color w:val="auto"/>
          <w:sz w:val="44"/>
          <w:szCs w:val="44"/>
        </w:rPr>
        <w:t>指南</w:t>
      </w:r>
    </w:p>
    <w:bookmarkEnd w:id="0"/>
    <w:p w14:paraId="6FEAA50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小标宋简体" w:hAnsi="方正小标宋简体" w:eastAsia="方正小标宋简体" w:cs="方正小标宋简体"/>
          <w:bCs/>
          <w:color w:val="auto"/>
          <w:sz w:val="44"/>
          <w:szCs w:val="44"/>
        </w:rPr>
      </w:pPr>
    </w:p>
    <w:p w14:paraId="4D62DF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bCs w:val="0"/>
          <w:color w:val="auto"/>
          <w:sz w:val="32"/>
          <w:szCs w:val="32"/>
          <w:highlight w:val="none"/>
          <w:lang w:val="en-US" w:eastAsia="zh-CN"/>
        </w:rPr>
        <w:t>一、</w:t>
      </w:r>
      <w:r>
        <w:rPr>
          <w:rFonts w:hint="eastAsia" w:ascii="方正黑体_GBK" w:hAnsi="方正黑体_GBK" w:eastAsia="方正黑体_GBK" w:cs="方正黑体_GBK"/>
          <w:color w:val="auto"/>
          <w:highlight w:val="none"/>
        </w:rPr>
        <w:t>“51020”先进制造业产业集群创新现状和需求课题</w:t>
      </w:r>
    </w:p>
    <w:p w14:paraId="5BC274B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1.湖北省新能源与智能网联汽车产业技术领先点、代表领军企业、代表领军人才现状研究及与先进省市比较分析</w:t>
      </w:r>
    </w:p>
    <w:p w14:paraId="40AD8B3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新能源与智能网联汽车产业技术领先点、代表领军企业、代表领军人才现状，并从科技创新支撑产业创新的角度，提出促进该产业发展壮大的政策建议。（要有纵向横向比较以及详实数据和案例支撑）</w:t>
      </w:r>
    </w:p>
    <w:p w14:paraId="7469C93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2.湖北省北斗及应用产业技术领先点、代表领军企业、代表领军人才现状研究及与先进省市比较分析</w:t>
      </w:r>
    </w:p>
    <w:p w14:paraId="0D7E658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北斗及应用产业技术领先点、代表领军企业、代表领军人才现状，并从科技创新支撑产业创新的角度，提出促进该产业发展壮大的政策建议。（要有纵向横向比较以及详实数据和案例支撑）</w:t>
      </w:r>
    </w:p>
    <w:p w14:paraId="67D89AC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3.湖北省高端医疗器械产业技术领先点、代表领军企业、代表领军人才现状研究及与先进省市比较分析</w:t>
      </w:r>
    </w:p>
    <w:p w14:paraId="4CECC25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高端医疗器械产业技术领先点、代表领军企业、代表领军人才现状，并从科技创新支撑产业创新的角度，提出促进该产业发展壮大的政策建议。（要有纵向横向比较以及详实数据和案例支撑）</w:t>
      </w:r>
    </w:p>
    <w:p w14:paraId="2746C4E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4.湖北省量子与光子科技产业技术领先点、代表领军企业、代表领军人才现状研究及与先进省市比较分析</w:t>
      </w:r>
    </w:p>
    <w:p w14:paraId="34B955B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量子与光子产业技术领先点、代表领军企业、代表领军人才现状，并从科技创新支撑产业创新的角度，提出促进该产业发展壮大的政策建议。（要有纵向横向比较以及详实数据和案例支撑）</w:t>
      </w:r>
    </w:p>
    <w:p w14:paraId="4121B90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5.湖北省新型信息网络产业技术领先点、代表领军企业、代表领军人才现状研究及与先进省市比较分析</w:t>
      </w:r>
    </w:p>
    <w:p w14:paraId="7738D00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新型信息网络产业技术领先点、代表领军企业、代表领军人才现状，并从科技创新支撑产业创新的角度，提出促进该产业发展壮大的政策建议。（要有纵向横向比较以及详实数据和案例支撑）</w:t>
      </w:r>
    </w:p>
    <w:p w14:paraId="6DBC92A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6.湖北省农业微生物产业技术领先点、代表领军企业、代表领军人才现状研究及与先进省市比较分析</w:t>
      </w:r>
    </w:p>
    <w:p w14:paraId="4A40D34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农业微生物产业技术领先点、代表领军企业、代表领军人才现状，并从科技创新支撑产业创新的角度，提出促进该产业发展壮大的政策建议。（要有纵向横向比较以及详实数据和案例支撑）</w:t>
      </w:r>
    </w:p>
    <w:p w14:paraId="799C849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7.湖北省低空经济产业技术领先点、代表领军企业、代表领军人才现状研究及与先进省市比较分析</w:t>
      </w:r>
    </w:p>
    <w:p w14:paraId="7887FC9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低空经济产业技术领先点、代表领军企业、代表领军人才现状，并从科技创新支撑产业创新的角度，提出促进该产业发展壮大的政策建议。（要有纵向横向比较以及详实数据和案例支撑）</w:t>
      </w:r>
    </w:p>
    <w:p w14:paraId="55A9624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8.</w:t>
      </w:r>
      <w:r>
        <w:rPr>
          <w:rFonts w:hint="default" w:ascii="仿宋_GB2312" w:hAnsi="仿宋_GB2312" w:cs="仿宋_GB2312"/>
          <w:b/>
          <w:bCs/>
          <w:snapToGrid w:val="0"/>
          <w:color w:val="auto"/>
          <w:spacing w:val="0"/>
          <w:kern w:val="0"/>
          <w:lang w:val="en-US" w:eastAsia="zh-CN"/>
        </w:rPr>
        <w:t>湖北省高端芯片产业技术领先点、代表领军企业、代表领军人才现状研究及与先进省市比较分析</w:t>
      </w:r>
    </w:p>
    <w:p w14:paraId="67EC53D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高端芯片产业技术领先点、代表领军企业、代表领军人才现状，并从科技创新支撑产业创新的角度，提出促进该产业发展壮大的政策建议。（要有纵向横向比较以及详实数据和案例支撑）</w:t>
      </w:r>
    </w:p>
    <w:p w14:paraId="1E1BE27D">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9.</w:t>
      </w:r>
      <w:r>
        <w:rPr>
          <w:rFonts w:hint="default" w:ascii="仿宋_GB2312" w:hAnsi="仿宋_GB2312" w:cs="仿宋_GB2312"/>
          <w:b/>
          <w:bCs/>
          <w:snapToGrid w:val="0"/>
          <w:color w:val="auto"/>
          <w:spacing w:val="0"/>
          <w:kern w:val="0"/>
          <w:lang w:val="en-US" w:eastAsia="zh-CN"/>
        </w:rPr>
        <w:t>湖北省人形机器人产业技术领先点、代表领军企业、代表领军人才现状研究及与先进省市比较分析</w:t>
      </w:r>
    </w:p>
    <w:p w14:paraId="16BDCA9E">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人形机器人产业技术领先点、代表领军企业、代表领军人才现状，并从科技创新支撑产业创新的角度，提出促进该产业发展壮大的政策建议。（要有纵向横向比较以及详实数据和案例支撑）</w:t>
      </w:r>
    </w:p>
    <w:p w14:paraId="444E0B3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10.湖北省算力与大数据产业技术领先点、代表领军企业、代表领军人才现状研究及与先进省市比较分析</w:t>
      </w:r>
    </w:p>
    <w:p w14:paraId="22B5F05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算力与大数据产业技术领先点、代表领军企业、代表领军人才现状，并从科技创新支撑产业创新的角度，提出促进该产业发展壮大的政策建议。（要有纵向横向比较以及详实数据和案例支撑）</w:t>
      </w:r>
    </w:p>
    <w:p w14:paraId="489F48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pacing w:val="0"/>
          <w:kern w:val="2"/>
          <w:sz w:val="32"/>
          <w:szCs w:val="32"/>
          <w:highlight w:val="none"/>
          <w:lang w:val="en-US" w:eastAsia="zh-CN" w:bidi="ar-SA"/>
        </w:rPr>
      </w:pPr>
    </w:p>
    <w:p w14:paraId="4C1294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pacing w:val="0"/>
          <w:kern w:val="2"/>
          <w:sz w:val="32"/>
          <w:szCs w:val="32"/>
          <w:highlight w:val="none"/>
          <w:lang w:val="en-US" w:eastAsia="zh-CN" w:bidi="ar-SA"/>
        </w:rPr>
      </w:pPr>
    </w:p>
    <w:p w14:paraId="171C6C0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pacing w:val="0"/>
          <w:kern w:val="2"/>
          <w:sz w:val="32"/>
          <w:szCs w:val="32"/>
          <w:highlight w:val="none"/>
          <w:lang w:val="en-US" w:eastAsia="zh-CN" w:bidi="ar-SA"/>
        </w:rPr>
      </w:pPr>
      <w:r>
        <w:rPr>
          <w:rFonts w:hint="eastAsia" w:ascii="方正黑体_GBK" w:hAnsi="方正黑体_GBK" w:eastAsia="方正黑体_GBK" w:cs="方正黑体_GBK"/>
          <w:color w:val="auto"/>
          <w:spacing w:val="0"/>
          <w:kern w:val="2"/>
          <w:sz w:val="32"/>
          <w:szCs w:val="32"/>
          <w:highlight w:val="none"/>
          <w:lang w:val="en-US" w:eastAsia="zh-CN" w:bidi="ar-SA"/>
        </w:rPr>
        <w:t>二、科技创新重要问题研究方向</w:t>
      </w:r>
    </w:p>
    <w:p w14:paraId="2F1C16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方正仿宋_GBK" w:cs="方正仿宋_GBK"/>
          <w:color w:val="auto"/>
          <w:spacing w:val="0"/>
          <w:kern w:val="2"/>
          <w:sz w:val="32"/>
          <w:szCs w:val="32"/>
          <w:lang w:val="en-US" w:eastAsia="zh-CN" w:bidi="ar-SA"/>
        </w:rPr>
      </w:pPr>
      <w:r>
        <w:rPr>
          <w:rFonts w:hint="eastAsia" w:ascii="仿宋_GB2312" w:hAnsi="方正仿宋_GBK" w:eastAsia="仿宋_GB2312" w:cs="方正仿宋_GBK"/>
          <w:color w:val="auto"/>
          <w:spacing w:val="0"/>
          <w:kern w:val="2"/>
          <w:sz w:val="32"/>
          <w:szCs w:val="32"/>
          <w:lang w:val="en-US" w:eastAsia="zh-CN" w:bidi="ar-SA"/>
        </w:rPr>
        <w:t>申请人围绕以下研究方向</w:t>
      </w:r>
      <w:r>
        <w:rPr>
          <w:rFonts w:hint="eastAsia" w:ascii="仿宋_GB2312" w:hAnsi="方正仿宋_GBK" w:cs="方正仿宋_GBK"/>
          <w:color w:val="auto"/>
          <w:spacing w:val="0"/>
          <w:kern w:val="2"/>
          <w:sz w:val="32"/>
          <w:szCs w:val="32"/>
          <w:lang w:val="en-US" w:eastAsia="zh-CN" w:bidi="ar-SA"/>
        </w:rPr>
        <w:t>，</w:t>
      </w:r>
      <w:r>
        <w:rPr>
          <w:rFonts w:hint="eastAsia" w:ascii="仿宋_GB2312" w:hAnsi="方正仿宋_GBK" w:eastAsia="仿宋_GB2312" w:cs="方正仿宋_GBK"/>
          <w:color w:val="auto"/>
          <w:spacing w:val="0"/>
          <w:kern w:val="2"/>
          <w:sz w:val="32"/>
          <w:szCs w:val="32"/>
          <w:lang w:val="en-US" w:eastAsia="zh-CN" w:bidi="ar-SA"/>
        </w:rPr>
        <w:t>自主设定研究题目</w:t>
      </w:r>
      <w:r>
        <w:rPr>
          <w:rFonts w:hint="eastAsia" w:ascii="仿宋_GB2312" w:hAnsi="方正仿宋_GBK" w:cs="方正仿宋_GBK"/>
          <w:color w:val="auto"/>
          <w:spacing w:val="0"/>
          <w:kern w:val="2"/>
          <w:sz w:val="32"/>
          <w:szCs w:val="32"/>
          <w:lang w:val="en-US" w:eastAsia="zh-CN" w:bidi="ar-SA"/>
        </w:rPr>
        <w:t>。</w:t>
      </w:r>
    </w:p>
    <w:p w14:paraId="36DDFDD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研究方向1：选取“51020”先进制造业产业集群中1-2个重点产业，开展企业创新生态优化研究。</w:t>
      </w:r>
    </w:p>
    <w:p w14:paraId="1FB874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选取1-2个“51020”先进制造业产业集群中的重点产业，从创新链、产业链、资金链、人才链等维度，梳理分析当前支撑产业创新发展存在的短板，并提出优化企业创新生态的政策建议。</w:t>
      </w:r>
    </w:p>
    <w:p w14:paraId="697CEC6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2</w:t>
      </w:r>
      <w:r>
        <w:rPr>
          <w:rFonts w:hint="default" w:ascii="仿宋_GB2312" w:hAnsi="仿宋_GB2312" w:cs="仿宋_GB2312"/>
          <w:b/>
          <w:bCs/>
          <w:snapToGrid w:val="0"/>
          <w:color w:val="auto"/>
          <w:spacing w:val="0"/>
          <w:kern w:val="0"/>
          <w:lang w:val="en-US" w:eastAsia="zh-CN"/>
        </w:rPr>
        <w:t>：以“小切口”，推动武汉、襄阳、宜昌“金三角”产业协同创新的路径及政策举措研究。</w:t>
      </w:r>
    </w:p>
    <w:p w14:paraId="48A59DF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以“小切口”，剖析武汉、襄阳、宜昌“金三角”产业协同现状，分析影响产业协同创新的重要因素和短板问题，借鉴先进省市经验，提出优化路径及具体举措。</w:t>
      </w:r>
    </w:p>
    <w:p w14:paraId="717152D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3</w:t>
      </w:r>
      <w:r>
        <w:rPr>
          <w:rFonts w:hint="default" w:ascii="仿宋_GB2312" w:hAnsi="仿宋_GB2312" w:cs="仿宋_GB2312"/>
          <w:b/>
          <w:bCs/>
          <w:snapToGrid w:val="0"/>
          <w:color w:val="auto"/>
          <w:spacing w:val="0"/>
          <w:kern w:val="0"/>
          <w:lang w:val="en-US" w:eastAsia="zh-CN"/>
        </w:rPr>
        <w:t>：利用湖北科技与产业比较优势，更好发挥在长江中游和中部地区创新策源功能的现状</w:t>
      </w:r>
      <w:r>
        <w:rPr>
          <w:rFonts w:hint="eastAsia" w:ascii="仿宋_GB2312" w:hAnsi="仿宋_GB2312" w:cs="仿宋_GB2312"/>
          <w:b/>
          <w:bCs/>
          <w:snapToGrid w:val="0"/>
          <w:color w:val="auto"/>
          <w:spacing w:val="0"/>
          <w:kern w:val="0"/>
          <w:lang w:val="en-US" w:eastAsia="zh-CN"/>
        </w:rPr>
        <w:t>、</w:t>
      </w:r>
      <w:r>
        <w:rPr>
          <w:rFonts w:hint="default" w:ascii="仿宋_GB2312" w:hAnsi="仿宋_GB2312" w:cs="仿宋_GB2312"/>
          <w:b/>
          <w:bCs/>
          <w:snapToGrid w:val="0"/>
          <w:color w:val="auto"/>
          <w:spacing w:val="0"/>
          <w:kern w:val="0"/>
          <w:lang w:val="en-US" w:eastAsia="zh-CN"/>
        </w:rPr>
        <w:t>问题及政策举措研究。</w:t>
      </w:r>
    </w:p>
    <w:p w14:paraId="29C7D23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研究提炼创新策源能力的内涵和维度，梳理分析湖北科技创新和产业创新与中部其他省份的比较优势和短板不足，提出发挥湖北优势，更好发挥在长江中游和中部地区创新策源功能的政策举措。</w:t>
      </w:r>
    </w:p>
    <w:p w14:paraId="6F04CFD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4</w:t>
      </w:r>
      <w:r>
        <w:rPr>
          <w:rFonts w:hint="default" w:ascii="仿宋_GB2312" w:hAnsi="仿宋_GB2312" w:cs="仿宋_GB2312"/>
          <w:b/>
          <w:bCs/>
          <w:snapToGrid w:val="0"/>
          <w:color w:val="auto"/>
          <w:spacing w:val="0"/>
          <w:kern w:val="0"/>
          <w:lang w:val="en-US" w:eastAsia="zh-CN"/>
        </w:rPr>
        <w:t>：中美科技战贸易战关税战对湖北科技创新的影响研究。</w:t>
      </w:r>
    </w:p>
    <w:p w14:paraId="6E79635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跟踪分析特朗普2.0时代科技战贸易战关税战特点，分析对我国、我省科技创新的潜在风险与机遇，提出应对策略建议。（需根据省科技厅工作需要，提交最新动态分析报告）</w:t>
      </w:r>
    </w:p>
    <w:p w14:paraId="7BA0071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5</w:t>
      </w:r>
      <w:r>
        <w:rPr>
          <w:rFonts w:hint="default" w:ascii="仿宋_GB2312" w:hAnsi="仿宋_GB2312" w:cs="仿宋_GB2312"/>
          <w:b/>
          <w:bCs/>
          <w:snapToGrid w:val="0"/>
          <w:color w:val="auto"/>
          <w:spacing w:val="0"/>
          <w:kern w:val="0"/>
          <w:lang w:val="en-US" w:eastAsia="zh-CN"/>
        </w:rPr>
        <w:t>：制约湖北省科技创新及产业创新的突出问题及原因分析研究。</w:t>
      </w:r>
    </w:p>
    <w:p w14:paraId="1DC65C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采取对比分析方法，深入分析湖北省科技创新、产业创新的突出问题，分析问题成因，提出解决的政策建议。（要有纵向横向比较以及详实数据和案例支撑）</w:t>
      </w:r>
    </w:p>
    <w:p w14:paraId="6BE1E79B">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_GB2312" w:hAnsi="方正仿宋_GBK" w:eastAsia="仿宋_GB2312" w:cs="方正仿宋_GBK"/>
          <w:b/>
          <w:bCs/>
          <w:color w:val="auto"/>
          <w:sz w:val="32"/>
          <w:szCs w:val="32"/>
          <w:lang w:val="en-US" w:eastAsia="zh-CN"/>
        </w:rPr>
      </w:pPr>
    </w:p>
    <w:p w14:paraId="3835B865">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pPr>
      <w:r>
        <w:rPr>
          <w:rFonts w:hint="eastAsia" w:ascii="仿宋_GB2312" w:hAnsi="方正仿宋_GBK" w:eastAsia="仿宋_GB2312" w:cs="方正仿宋_GBK"/>
          <w:b/>
          <w:bCs/>
          <w:color w:val="auto"/>
          <w:sz w:val="32"/>
          <w:szCs w:val="32"/>
          <w:lang w:val="en-US" w:eastAsia="zh-CN"/>
        </w:rPr>
        <w:t>注：</w:t>
      </w:r>
      <w:r>
        <w:rPr>
          <w:rFonts w:hint="eastAsia" w:ascii="仿宋_GB2312" w:hAnsi="方正仿宋_GBK" w:cs="方正仿宋_GBK"/>
          <w:color w:val="auto"/>
          <w:kern w:val="0"/>
        </w:rPr>
        <w:t>由市、州、直管市、神农架林区科技局线上推荐，各科技局单个指南方向推荐申报项目数量不超过2个</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11DF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C399F4">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BC399F4">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A6B41"/>
    <w:rsid w:val="6BDA6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2025-04-23T01:01:00Z</dcterms:created>
  <dc:creator>罗罗</dc:creator>
  <cp:lastModifiedBy>罗罗</cp:lastModifiedBy>
  <dcterms:modified xsi:type="dcterms:W3CDTF">2025-04-23T01:02:10Z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C4DB6A068ED740CCAE5844798A65DE31_11</vt:lpwstr>
  </property>
  <property fmtid="{D5CDD505-2E9C-101B-9397-08002B2CF9AE}" pid="4" name="KSOTemplateDocerSaveRecord">
    <vt:lpwstr>eyJoZGlkIjoiMmI1YjQ1ZjQ3Mzk2NjY2NTlkNGE4NWE3YjE5MDE1YzciLCJ1c2VySWQiOiI0MjA5MDQ4NTkifQ==</vt:lpwstr>
  </property>
</Properties>
</file>